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 w:bidi="ar-SA"/>
        </w:rPr>
        <w:t>市妇联部门绩效自评项目清单</w:t>
      </w:r>
    </w:p>
    <w:p>
      <w:pPr>
        <w:jc w:val="center"/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妇女专项活动经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费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人均一元钱综合业务经费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人均一元钱妇女创业发展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人均一元钱家庭和儿童工作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人均一元钱维权和关爱救助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人均一元钱妇女儿童公益活动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“两纲”实施及“六一”慰问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人均一元钱组织与宣传工作经费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促进妇女健康和创业扶持转移支付资金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86EEB"/>
    <w:multiLevelType w:val="singleLevel"/>
    <w:tmpl w:val="A9C86E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DUxZmU3NDA3NzYzNzg0OTAzM2E0ZGViNWExOGMifQ=="/>
  </w:docVars>
  <w:rsids>
    <w:rsidRoot w:val="18B2001B"/>
    <w:rsid w:val="18B2001B"/>
    <w:rsid w:val="314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2024-07-31T06:21:00Z</dcterms:created>
  <dc:creator>Carrelii</dc:creator>
  <cp:lastModifiedBy>徐潘</cp:lastModifiedBy>
  <cp:lastPrinted>2024-08-02T09:21:05Z</cp:lastPrinted>
  <dcterms:modified xsi:type="dcterms:W3CDTF">2024-08-02T09:21:23Z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E040A8BE3D904FB0BB6BD636B66CFD1B_11</vt:lpwstr>
  </property>
</Properties>
</file>